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自治区财政项目支出绩效自评报告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（2018年度）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ascii="方正小标宋_GBK" w:hAnsi="宋体" w:eastAsia="方正小标宋_GBK" w:cs="宋体"/>
          <w:kern w:val="0"/>
          <w:sz w:val="36"/>
          <w:szCs w:val="36"/>
        </w:rPr>
      </w:pPr>
      <w:r>
        <w:rPr>
          <w:rFonts w:hint="eastAsia" w:ascii="方正小标宋_GBK" w:hAnsi="宋体" w:eastAsia="方正小标宋_GBK" w:cs="宋体"/>
          <w:kern w:val="0"/>
          <w:sz w:val="36"/>
          <w:szCs w:val="36"/>
        </w:rPr>
        <w:t xml:space="preserve"> </w:t>
      </w:r>
    </w:p>
    <w:p>
      <w:pPr>
        <w:spacing w:line="540" w:lineRule="exact"/>
        <w:jc w:val="center"/>
        <w:rPr>
          <w:rFonts w:ascii="方正小标宋_GBK" w:hAnsi="宋体" w:eastAsia="方正小标宋_GBK" w:cs="宋体"/>
          <w:kern w:val="0"/>
          <w:sz w:val="36"/>
          <w:szCs w:val="36"/>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项目名称：人才公寓50%购房款　</w:t>
      </w: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实施单位（公章）：喀什经济开发区党政办公室　</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主管部门（公章）：喀什经济开发区管理委员会</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项目负责人（签章）：陈斌</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填报时间： 2019 年 2 月27日</w:t>
      </w:r>
    </w:p>
    <w:p>
      <w:pPr>
        <w:spacing w:line="540" w:lineRule="exact"/>
        <w:jc w:val="center"/>
        <w:rPr>
          <w:rFonts w:hAnsi="宋体" w:eastAsia="仿宋_GB2312" w:cs="宋体"/>
          <w:kern w:val="0"/>
          <w:sz w:val="30"/>
          <w:szCs w:val="30"/>
        </w:rPr>
      </w:pPr>
    </w:p>
    <w:p>
      <w:pPr>
        <w:spacing w:line="540" w:lineRule="exact"/>
        <w:rPr>
          <w:rStyle w:val="19"/>
          <w:rFonts w:ascii="黑体" w:hAnsi="黑体" w:eastAsia="黑体"/>
          <w:b w:val="0"/>
          <w:spacing w:val="-4"/>
          <w:sz w:val="32"/>
          <w:szCs w:val="32"/>
        </w:rPr>
      </w:pPr>
    </w:p>
    <w:p>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一、项目概况</w:t>
      </w:r>
    </w:p>
    <w:p>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（一）项目单位基本情况</w:t>
      </w:r>
    </w:p>
    <w:p>
      <w:pPr>
        <w:adjustRightInd w:val="0"/>
        <w:snapToGrid w:val="0"/>
        <w:spacing w:line="560" w:lineRule="exact"/>
        <w:ind w:firstLine="624" w:firstLineChars="200"/>
        <w:rPr>
          <w:rStyle w:val="19"/>
          <w:rFonts w:hint="eastAsia" w:ascii="仿宋" w:hAnsi="仿宋" w:eastAsia="仿宋"/>
          <w:b w:val="0"/>
          <w:spacing w:val="-4"/>
          <w:sz w:val="32"/>
          <w:szCs w:val="32"/>
        </w:rPr>
      </w:pPr>
      <w:r>
        <w:rPr>
          <w:rStyle w:val="19"/>
          <w:rFonts w:hint="eastAsia" w:ascii="仿宋" w:hAnsi="仿宋" w:eastAsia="仿宋"/>
          <w:b w:val="0"/>
          <w:spacing w:val="-4"/>
          <w:sz w:val="32"/>
          <w:szCs w:val="32"/>
        </w:rPr>
        <w:t>编制数20人，其中：行政人员编制12人，参照公务员管理的事业单位人员编制0人，全额拨款事业单位人员编制8人。</w:t>
      </w:r>
    </w:p>
    <w:p>
      <w:pPr>
        <w:spacing w:line="540" w:lineRule="exact"/>
        <w:ind w:firstLine="564" w:firstLineChars="181"/>
        <w:rPr>
          <w:rStyle w:val="19"/>
          <w:rFonts w:ascii="仿宋" w:hAnsi="仿宋" w:eastAsia="仿宋"/>
          <w:b w:val="0"/>
          <w:spacing w:val="-4"/>
          <w:sz w:val="32"/>
          <w:szCs w:val="32"/>
        </w:rPr>
      </w:pPr>
      <w:r>
        <w:rPr>
          <w:rStyle w:val="19"/>
          <w:rFonts w:hint="eastAsia" w:ascii="仿宋" w:hAnsi="仿宋" w:eastAsia="仿宋"/>
          <w:b w:val="0"/>
          <w:spacing w:val="-4"/>
          <w:sz w:val="32"/>
          <w:szCs w:val="32"/>
        </w:rPr>
        <w:t>根据相关文件精神，设立喀什经济开发区管理委员会，与“中共喀什经济开发区工作委员会”一个机构、两块牌子，作为自治区党委、人民政府的派出机构，机构规格为副厅级，行使自治区级管理权,负责开发区的统一规划。</w:t>
      </w:r>
    </w:p>
    <w:p>
      <w:pPr>
        <w:spacing w:line="540" w:lineRule="exact"/>
        <w:ind w:firstLine="624" w:firstLineChars="200"/>
        <w:rPr>
          <w:rStyle w:val="19"/>
          <w:rFonts w:ascii="仿宋" w:hAnsi="仿宋" w:eastAsia="仿宋"/>
          <w:b w:val="0"/>
          <w:spacing w:val="-4"/>
          <w:sz w:val="32"/>
          <w:szCs w:val="32"/>
        </w:rPr>
      </w:pPr>
      <w:r>
        <w:rPr>
          <w:rStyle w:val="19"/>
          <w:rFonts w:hint="eastAsia" w:ascii="仿宋" w:hAnsi="仿宋" w:eastAsia="仿宋"/>
          <w:b w:val="0"/>
          <w:spacing w:val="-4"/>
          <w:sz w:val="32"/>
          <w:szCs w:val="32"/>
        </w:rPr>
        <w:t>喀什经济开发区党政办公室为管委会下属部门之一，主要负责广电、会务、机要、档案、财务、资产管理等机关日常工作；承担政务信息、安全、保密、督查、信访、新闻宣传、编志、政务公开等工作；负责对外接待和联络工作；承办党工委、管委会交办的其他事项。</w:t>
      </w:r>
    </w:p>
    <w:p>
      <w:pPr>
        <w:spacing w:line="540" w:lineRule="exact"/>
        <w:ind w:firstLine="567" w:firstLineChars="181"/>
        <w:rPr>
          <w:rStyle w:val="19"/>
          <w:rFonts w:ascii="楷体" w:hAnsi="楷体" w:eastAsia="楷体"/>
          <w:spacing w:val="-4"/>
          <w:sz w:val="32"/>
          <w:szCs w:val="32"/>
        </w:rPr>
      </w:pPr>
      <w:r>
        <w:rPr>
          <w:rStyle w:val="19"/>
          <w:rFonts w:hint="eastAsia" w:ascii="楷体" w:hAnsi="楷体" w:eastAsia="楷体"/>
          <w:spacing w:val="-4"/>
          <w:sz w:val="32"/>
          <w:szCs w:val="32"/>
        </w:rPr>
        <w:t>（二）项目预算</w:t>
      </w:r>
      <w:r>
        <w:rPr>
          <w:rStyle w:val="19"/>
          <w:rFonts w:ascii="楷体" w:hAnsi="楷体" w:eastAsia="楷体"/>
          <w:spacing w:val="-4"/>
          <w:sz w:val="32"/>
          <w:szCs w:val="32"/>
        </w:rPr>
        <w:t>绩效目标</w:t>
      </w:r>
      <w:r>
        <w:rPr>
          <w:rStyle w:val="19"/>
          <w:rFonts w:hint="eastAsia" w:ascii="楷体" w:hAnsi="楷体" w:eastAsia="楷体"/>
          <w:spacing w:val="-4"/>
          <w:sz w:val="32"/>
          <w:szCs w:val="32"/>
        </w:rPr>
        <w:t>设定情况</w:t>
      </w:r>
    </w:p>
    <w:p>
      <w:pPr>
        <w:spacing w:line="540" w:lineRule="exact"/>
        <w:ind w:firstLine="564" w:firstLineChars="181"/>
        <w:rPr>
          <w:rStyle w:val="19"/>
          <w:rFonts w:hint="eastAsia" w:ascii="仿宋" w:hAnsi="仿宋" w:eastAsia="仿宋"/>
          <w:b w:val="0"/>
          <w:spacing w:val="-4"/>
          <w:sz w:val="32"/>
          <w:szCs w:val="32"/>
        </w:rPr>
      </w:pPr>
      <w:r>
        <w:rPr>
          <w:rFonts w:hint="eastAsia" w:ascii="仿宋" w:hAnsi="仿宋" w:eastAsia="仿宋"/>
          <w:b w:val="0"/>
          <w:bCs w:val="0"/>
          <w:color w:val="auto"/>
          <w:spacing w:val="-4"/>
          <w:sz w:val="32"/>
          <w:szCs w:val="32"/>
          <w:shd w:val="clear" w:color="auto" w:fill="auto"/>
          <w:lang w:eastAsia="zh-CN"/>
        </w:rPr>
        <w:t>本项目</w:t>
      </w:r>
      <w:r>
        <w:rPr>
          <w:rFonts w:hint="eastAsia" w:ascii="仿宋" w:hAnsi="仿宋" w:eastAsia="仿宋"/>
          <w:b w:val="0"/>
          <w:bCs w:val="0"/>
          <w:color w:val="auto"/>
          <w:spacing w:val="-4"/>
          <w:sz w:val="32"/>
          <w:szCs w:val="32"/>
          <w:shd w:val="clear" w:color="auto" w:fill="auto"/>
          <w:lang w:val="en-US" w:eastAsia="zh-CN"/>
        </w:rPr>
        <w:t>2018年目标是：</w:t>
      </w:r>
      <w:r>
        <w:rPr>
          <w:rStyle w:val="19"/>
          <w:rFonts w:hint="eastAsia" w:ascii="仿宋" w:hAnsi="仿宋" w:eastAsia="仿宋"/>
          <w:b w:val="0"/>
          <w:spacing w:val="-4"/>
          <w:sz w:val="32"/>
          <w:szCs w:val="32"/>
        </w:rPr>
        <w:t>为保障干部交流、周转、接待等使用需求，购置位于喀什市金龙房地产开发有限公司开发建设的世纪名城商用小区2号楼作为人才公寓，</w:t>
      </w:r>
      <w:r>
        <w:rPr>
          <w:rFonts w:hint="eastAsia" w:ascii="仿宋" w:hAnsi="仿宋" w:eastAsia="仿宋"/>
          <w:bCs/>
          <w:spacing w:val="-4"/>
          <w:sz w:val="32"/>
          <w:szCs w:val="32"/>
        </w:rPr>
        <w:t>建筑面积18272.13平米，单价3200元/</w:t>
      </w:r>
      <w:r>
        <w:rPr>
          <w:rStyle w:val="19"/>
          <w:rFonts w:hint="eastAsia" w:ascii="仿宋" w:hAnsi="仿宋" w:eastAsia="仿宋"/>
          <w:b w:val="0"/>
          <w:spacing w:val="-4"/>
          <w:sz w:val="32"/>
          <w:szCs w:val="32"/>
        </w:rPr>
        <w:t>平米，付50%房款，总计2923.5408万元。</w:t>
      </w:r>
    </w:p>
    <w:p>
      <w:pPr>
        <w:adjustRightInd w:val="0"/>
        <w:snapToGrid w:val="0"/>
        <w:spacing w:line="560" w:lineRule="exact"/>
        <w:ind w:firstLine="627" w:firstLineChars="200"/>
        <w:rPr>
          <w:rFonts w:ascii="仿宋" w:hAnsi="仿宋" w:eastAsia="仿宋"/>
          <w:b/>
          <w:bCs/>
          <w:color w:val="auto"/>
          <w:spacing w:val="-4"/>
          <w:sz w:val="32"/>
          <w:szCs w:val="32"/>
          <w:shd w:val="clear" w:color="auto" w:fill="auto"/>
        </w:rPr>
      </w:pPr>
      <w:r>
        <w:rPr>
          <w:rFonts w:hint="eastAsia" w:ascii="仿宋" w:hAnsi="仿宋" w:eastAsia="仿宋"/>
          <w:b/>
          <w:bCs/>
          <w:color w:val="auto"/>
          <w:spacing w:val="-4"/>
          <w:sz w:val="32"/>
          <w:szCs w:val="32"/>
          <w:shd w:val="clear" w:color="auto" w:fill="auto"/>
        </w:rPr>
        <w:t>2、项目基本性质</w:t>
      </w:r>
    </w:p>
    <w:p>
      <w:pPr>
        <w:adjustRightInd w:val="0"/>
        <w:snapToGrid w:val="0"/>
        <w:spacing w:line="560" w:lineRule="exact"/>
        <w:ind w:firstLine="624" w:firstLineChars="200"/>
        <w:rPr>
          <w:rFonts w:ascii="仿宋" w:hAnsi="仿宋" w:eastAsia="仿宋"/>
          <w:bCs/>
          <w:color w:val="auto"/>
          <w:spacing w:val="-4"/>
          <w:sz w:val="32"/>
          <w:szCs w:val="32"/>
          <w:shd w:val="clear" w:color="auto" w:fill="auto"/>
        </w:rPr>
      </w:pPr>
      <w:r>
        <w:rPr>
          <w:rFonts w:hint="eastAsia" w:ascii="仿宋" w:hAnsi="仿宋" w:eastAsia="仿宋"/>
          <w:bCs/>
          <w:color w:val="auto"/>
          <w:spacing w:val="-4"/>
          <w:sz w:val="32"/>
          <w:szCs w:val="32"/>
          <w:shd w:val="clear" w:color="auto" w:fill="auto"/>
        </w:rPr>
        <w:t>本项目性质为</w:t>
      </w:r>
      <w:r>
        <w:rPr>
          <w:rFonts w:hint="eastAsia" w:ascii="仿宋" w:hAnsi="仿宋" w:eastAsia="仿宋"/>
          <w:bCs/>
          <w:color w:val="auto"/>
          <w:spacing w:val="-4"/>
          <w:sz w:val="32"/>
          <w:szCs w:val="32"/>
          <w:shd w:val="clear" w:color="auto" w:fill="auto"/>
          <w:lang w:val="en-US" w:eastAsia="zh-CN"/>
        </w:rPr>
        <w:t>延续项目</w:t>
      </w:r>
      <w:r>
        <w:rPr>
          <w:rFonts w:hint="eastAsia" w:ascii="仿宋" w:hAnsi="仿宋" w:eastAsia="仿宋"/>
          <w:bCs/>
          <w:color w:val="auto"/>
          <w:spacing w:val="-4"/>
          <w:sz w:val="32"/>
          <w:szCs w:val="32"/>
          <w:shd w:val="clear" w:color="auto" w:fill="auto"/>
        </w:rPr>
        <w:t>。</w:t>
      </w:r>
    </w:p>
    <w:p>
      <w:pPr>
        <w:adjustRightInd w:val="0"/>
        <w:snapToGrid w:val="0"/>
        <w:spacing w:line="560" w:lineRule="exact"/>
        <w:ind w:firstLine="627" w:firstLineChars="200"/>
        <w:rPr>
          <w:rFonts w:ascii="仿宋" w:hAnsi="仿宋" w:eastAsia="仿宋"/>
          <w:b/>
          <w:bCs/>
          <w:color w:val="auto"/>
          <w:spacing w:val="-4"/>
          <w:sz w:val="32"/>
          <w:szCs w:val="32"/>
          <w:shd w:val="clear" w:color="auto" w:fill="auto"/>
        </w:rPr>
      </w:pPr>
      <w:r>
        <w:rPr>
          <w:rFonts w:hint="eastAsia" w:ascii="仿宋" w:hAnsi="仿宋" w:eastAsia="仿宋"/>
          <w:b/>
          <w:bCs/>
          <w:color w:val="auto"/>
          <w:spacing w:val="-4"/>
          <w:sz w:val="32"/>
          <w:szCs w:val="32"/>
          <w:shd w:val="clear" w:color="auto" w:fill="auto"/>
        </w:rPr>
        <w:t>3、项目用途及范围</w:t>
      </w:r>
    </w:p>
    <w:p>
      <w:pPr>
        <w:spacing w:line="540" w:lineRule="exact"/>
        <w:ind w:firstLine="640"/>
        <w:rPr>
          <w:rStyle w:val="19"/>
          <w:rFonts w:hint="eastAsia" w:ascii="仿宋" w:hAnsi="仿宋" w:eastAsia="仿宋"/>
          <w:b w:val="0"/>
          <w:spacing w:val="-4"/>
          <w:sz w:val="32"/>
          <w:szCs w:val="32"/>
          <w:lang w:eastAsia="zh-CN"/>
        </w:rPr>
      </w:pPr>
      <w:r>
        <w:rPr>
          <w:rStyle w:val="19"/>
          <w:rFonts w:hint="eastAsia" w:ascii="仿宋" w:hAnsi="仿宋" w:eastAsia="仿宋"/>
          <w:b w:val="0"/>
          <w:spacing w:val="-4"/>
          <w:sz w:val="32"/>
          <w:szCs w:val="32"/>
        </w:rPr>
        <w:t>保障干部交流、周转、接待等使用需求</w:t>
      </w:r>
      <w:r>
        <w:rPr>
          <w:rStyle w:val="19"/>
          <w:rFonts w:hint="eastAsia" w:ascii="仿宋" w:hAnsi="仿宋" w:eastAsia="仿宋"/>
          <w:b w:val="0"/>
          <w:spacing w:val="-4"/>
          <w:sz w:val="32"/>
          <w:szCs w:val="32"/>
          <w:lang w:eastAsia="zh-CN"/>
        </w:rPr>
        <w:t>。</w:t>
      </w:r>
    </w:p>
    <w:p>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二、项目资金使用及管理情况</w:t>
      </w:r>
    </w:p>
    <w:p>
      <w:pPr>
        <w:spacing w:line="540" w:lineRule="exact"/>
        <w:ind w:firstLine="567" w:firstLineChars="181"/>
        <w:rPr>
          <w:rStyle w:val="19"/>
          <w:rFonts w:ascii="楷体" w:hAnsi="楷体" w:eastAsia="楷体"/>
          <w:spacing w:val="-4"/>
          <w:sz w:val="32"/>
          <w:szCs w:val="32"/>
        </w:rPr>
      </w:pPr>
      <w:r>
        <w:rPr>
          <w:rStyle w:val="19"/>
          <w:rFonts w:hint="eastAsia" w:ascii="楷体" w:hAnsi="楷体" w:eastAsia="楷体"/>
          <w:spacing w:val="-4"/>
          <w:sz w:val="32"/>
          <w:szCs w:val="32"/>
        </w:rPr>
        <w:t>（一）项目资金安排落实、总投入等情况分析</w:t>
      </w:r>
    </w:p>
    <w:p>
      <w:pPr>
        <w:spacing w:line="540" w:lineRule="exact"/>
        <w:ind w:firstLine="640" w:firstLineChars="200"/>
        <w:rPr>
          <w:rStyle w:val="19"/>
          <w:rFonts w:ascii="仿宋" w:hAnsi="仿宋" w:eastAsia="仿宋"/>
          <w:b w:val="0"/>
          <w:spacing w:val="-4"/>
          <w:sz w:val="32"/>
          <w:szCs w:val="32"/>
        </w:rPr>
      </w:pPr>
      <w:r>
        <w:rPr>
          <w:rFonts w:hint="eastAsia" w:ascii="仿宋" w:hAnsi="仿宋" w:eastAsia="仿宋" w:cs="Times New Roman"/>
          <w:color w:val="auto"/>
          <w:kern w:val="2"/>
          <w:sz w:val="32"/>
          <w:szCs w:val="32"/>
          <w:shd w:val="clear" w:color="auto" w:fill="auto"/>
          <w:lang w:val="en-US" w:eastAsia="zh-CN" w:bidi="ar-SA"/>
        </w:rPr>
        <w:t>本项目</w:t>
      </w:r>
      <w:r>
        <w:rPr>
          <w:rFonts w:hint="eastAsia" w:ascii="仿宋" w:hAnsi="仿宋" w:eastAsia="仿宋"/>
          <w:color w:val="auto"/>
          <w:sz w:val="32"/>
          <w:szCs w:val="32"/>
          <w:shd w:val="clear" w:color="auto" w:fill="auto"/>
          <w:lang w:val="en-US" w:eastAsia="zh-CN"/>
        </w:rPr>
        <w:t>预算安排总额为</w:t>
      </w:r>
      <w:r>
        <w:rPr>
          <w:rStyle w:val="19"/>
          <w:rFonts w:hint="eastAsia" w:ascii="仿宋" w:hAnsi="仿宋" w:eastAsia="仿宋"/>
          <w:b w:val="0"/>
          <w:spacing w:val="-4"/>
          <w:sz w:val="32"/>
          <w:szCs w:val="32"/>
        </w:rPr>
        <w:t>2923.5408</w:t>
      </w:r>
      <w:r>
        <w:rPr>
          <w:rFonts w:hint="eastAsia" w:ascii="仿宋" w:hAnsi="仿宋" w:eastAsia="仿宋"/>
          <w:color w:val="auto"/>
          <w:sz w:val="32"/>
          <w:szCs w:val="32"/>
          <w:shd w:val="clear" w:color="auto" w:fill="auto"/>
          <w:lang w:val="en-US" w:eastAsia="zh-CN"/>
        </w:rPr>
        <w:t>万元，其中财政资金</w:t>
      </w:r>
      <w:r>
        <w:rPr>
          <w:rStyle w:val="19"/>
          <w:rFonts w:hint="eastAsia" w:ascii="仿宋" w:hAnsi="仿宋" w:eastAsia="仿宋"/>
          <w:b w:val="0"/>
          <w:spacing w:val="-4"/>
          <w:sz w:val="32"/>
          <w:szCs w:val="32"/>
        </w:rPr>
        <w:t>2923.5408</w:t>
      </w:r>
      <w:r>
        <w:rPr>
          <w:rFonts w:hint="eastAsia" w:ascii="仿宋" w:hAnsi="仿宋" w:eastAsia="仿宋"/>
          <w:color w:val="auto"/>
          <w:sz w:val="32"/>
          <w:szCs w:val="32"/>
          <w:shd w:val="clear" w:color="auto" w:fill="auto"/>
          <w:lang w:val="en-US" w:eastAsia="zh-CN"/>
        </w:rPr>
        <w:t>万元，2018年实际收到预算资金</w:t>
      </w:r>
      <w:r>
        <w:rPr>
          <w:rStyle w:val="19"/>
          <w:rFonts w:hint="eastAsia" w:ascii="仿宋" w:hAnsi="仿宋" w:eastAsia="仿宋"/>
          <w:b w:val="0"/>
          <w:spacing w:val="-4"/>
          <w:sz w:val="32"/>
          <w:szCs w:val="32"/>
        </w:rPr>
        <w:t>2923.5408</w:t>
      </w:r>
      <w:r>
        <w:rPr>
          <w:rFonts w:hint="eastAsia" w:ascii="仿宋" w:hAnsi="仿宋" w:eastAsia="仿宋"/>
          <w:color w:val="auto"/>
          <w:sz w:val="32"/>
          <w:szCs w:val="32"/>
          <w:shd w:val="clear" w:color="auto" w:fill="auto"/>
          <w:lang w:val="en-US" w:eastAsia="zh-CN"/>
        </w:rPr>
        <w:t>万元。</w:t>
      </w:r>
    </w:p>
    <w:p>
      <w:pPr>
        <w:spacing w:line="540" w:lineRule="exact"/>
        <w:ind w:firstLine="567" w:firstLineChars="181"/>
        <w:rPr>
          <w:rStyle w:val="19"/>
          <w:rFonts w:ascii="楷体" w:hAnsi="楷体" w:eastAsia="楷体"/>
          <w:spacing w:val="-4"/>
          <w:sz w:val="32"/>
          <w:szCs w:val="32"/>
        </w:rPr>
      </w:pPr>
      <w:r>
        <w:rPr>
          <w:rStyle w:val="19"/>
          <w:rFonts w:hint="eastAsia" w:ascii="楷体" w:hAnsi="楷体" w:eastAsia="楷体"/>
          <w:spacing w:val="-4"/>
          <w:sz w:val="32"/>
          <w:szCs w:val="32"/>
        </w:rPr>
        <w:t>（二）项目资金实际使用情况分析</w:t>
      </w:r>
    </w:p>
    <w:p>
      <w:pPr>
        <w:spacing w:line="540" w:lineRule="exact"/>
        <w:ind w:firstLine="624" w:firstLineChars="200"/>
        <w:rPr>
          <w:rStyle w:val="19"/>
          <w:rFonts w:hint="eastAsia" w:ascii="仿宋" w:hAnsi="仿宋" w:eastAsia="仿宋"/>
          <w:b w:val="0"/>
          <w:spacing w:val="-4"/>
          <w:sz w:val="32"/>
          <w:szCs w:val="32"/>
          <w:lang w:eastAsia="zh-CN"/>
        </w:rPr>
      </w:pPr>
      <w:r>
        <w:rPr>
          <w:rFonts w:hint="eastAsia" w:ascii="仿宋" w:hAnsi="仿宋" w:eastAsia="仿宋"/>
          <w:bCs/>
          <w:color w:val="auto"/>
          <w:spacing w:val="-4"/>
          <w:sz w:val="32"/>
          <w:szCs w:val="32"/>
          <w:shd w:val="clear" w:color="auto" w:fill="auto"/>
          <w:lang w:val="en-US" w:eastAsia="zh-CN"/>
        </w:rPr>
        <w:t>截止2018年12月，本项目实际支付资金</w:t>
      </w:r>
      <w:r>
        <w:rPr>
          <w:rStyle w:val="19"/>
          <w:rFonts w:hint="eastAsia" w:ascii="仿宋" w:hAnsi="仿宋" w:eastAsia="仿宋"/>
          <w:b w:val="0"/>
          <w:spacing w:val="-4"/>
          <w:sz w:val="32"/>
          <w:szCs w:val="32"/>
        </w:rPr>
        <w:t>2923.5408</w:t>
      </w:r>
      <w:r>
        <w:rPr>
          <w:rFonts w:hint="eastAsia" w:ascii="仿宋" w:hAnsi="仿宋" w:eastAsia="仿宋"/>
          <w:bCs/>
          <w:color w:val="auto"/>
          <w:spacing w:val="-4"/>
          <w:sz w:val="32"/>
          <w:szCs w:val="32"/>
          <w:shd w:val="clear" w:color="auto" w:fill="auto"/>
          <w:lang w:val="en-US" w:eastAsia="zh-CN"/>
        </w:rPr>
        <w:t>万元，预算执行率为100%。用于</w:t>
      </w:r>
      <w:r>
        <w:rPr>
          <w:rStyle w:val="19"/>
          <w:rFonts w:hint="eastAsia" w:ascii="仿宋" w:hAnsi="仿宋" w:eastAsia="仿宋"/>
          <w:b w:val="0"/>
          <w:spacing w:val="-4"/>
          <w:sz w:val="32"/>
          <w:szCs w:val="32"/>
        </w:rPr>
        <w:t>购置购置人才公寓，付50%购房款</w:t>
      </w:r>
      <w:r>
        <w:rPr>
          <w:rStyle w:val="19"/>
          <w:rFonts w:hint="eastAsia" w:ascii="仿宋" w:hAnsi="仿宋" w:eastAsia="仿宋"/>
          <w:b w:val="0"/>
          <w:spacing w:val="-4"/>
          <w:sz w:val="32"/>
          <w:szCs w:val="32"/>
          <w:lang w:eastAsia="zh-CN"/>
        </w:rPr>
        <w:t>。</w:t>
      </w:r>
    </w:p>
    <w:p>
      <w:pPr>
        <w:spacing w:line="540" w:lineRule="exact"/>
        <w:ind w:firstLine="567" w:firstLineChars="181"/>
        <w:rPr>
          <w:rStyle w:val="19"/>
          <w:rFonts w:ascii="楷体" w:hAnsi="楷体" w:eastAsia="楷体"/>
          <w:spacing w:val="-4"/>
          <w:sz w:val="32"/>
          <w:szCs w:val="32"/>
        </w:rPr>
      </w:pPr>
      <w:r>
        <w:rPr>
          <w:rStyle w:val="19"/>
          <w:rFonts w:hint="eastAsia" w:ascii="楷体" w:hAnsi="楷体" w:eastAsia="楷体"/>
          <w:spacing w:val="-4"/>
          <w:sz w:val="32"/>
          <w:szCs w:val="32"/>
        </w:rPr>
        <w:t>（三）项目资金管理情况分析</w:t>
      </w:r>
    </w:p>
    <w:p>
      <w:pPr>
        <w:spacing w:line="540" w:lineRule="exact"/>
        <w:ind w:firstLine="624" w:firstLineChars="200"/>
        <w:rPr>
          <w:rStyle w:val="19"/>
          <w:rFonts w:ascii="仿宋" w:hAnsi="仿宋" w:eastAsia="仿宋"/>
          <w:b w:val="0"/>
          <w:spacing w:val="-4"/>
          <w:sz w:val="32"/>
          <w:szCs w:val="32"/>
        </w:rPr>
      </w:pPr>
      <w:r>
        <w:rPr>
          <w:rStyle w:val="19"/>
          <w:rFonts w:hint="eastAsia" w:ascii="仿宋" w:hAnsi="仿宋" w:eastAsia="仿宋"/>
          <w:b w:val="0"/>
          <w:spacing w:val="-4"/>
          <w:sz w:val="32"/>
          <w:szCs w:val="32"/>
        </w:rPr>
        <w:t>项目资金，根据财政制度流程申报批复审核，无违规操作，符合规范，专款专报，全部来自财政资金。</w:t>
      </w:r>
    </w:p>
    <w:p>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三、项目组织实施情况</w:t>
      </w:r>
    </w:p>
    <w:p>
      <w:pPr>
        <w:spacing w:line="540" w:lineRule="exact"/>
        <w:ind w:firstLine="567" w:firstLineChars="181"/>
        <w:rPr>
          <w:rStyle w:val="19"/>
          <w:rFonts w:ascii="楷体" w:hAnsi="楷体" w:eastAsia="楷体"/>
          <w:spacing w:val="-4"/>
          <w:sz w:val="32"/>
          <w:szCs w:val="32"/>
        </w:rPr>
      </w:pPr>
      <w:r>
        <w:rPr>
          <w:rStyle w:val="19"/>
          <w:rFonts w:hint="eastAsia" w:ascii="楷体" w:hAnsi="楷体" w:eastAsia="楷体"/>
          <w:spacing w:val="-4"/>
          <w:sz w:val="32"/>
          <w:szCs w:val="32"/>
        </w:rPr>
        <w:t>（一）项目组织情况分析</w:t>
      </w:r>
    </w:p>
    <w:p>
      <w:pPr>
        <w:spacing w:line="540" w:lineRule="exact"/>
        <w:ind w:firstLine="624" w:firstLineChars="200"/>
        <w:rPr>
          <w:rStyle w:val="19"/>
          <w:rFonts w:ascii="仿宋" w:hAnsi="仿宋" w:eastAsia="仿宋"/>
          <w:b w:val="0"/>
          <w:spacing w:val="-4"/>
          <w:sz w:val="32"/>
          <w:szCs w:val="32"/>
        </w:rPr>
      </w:pPr>
      <w:r>
        <w:rPr>
          <w:rStyle w:val="19"/>
          <w:rFonts w:hint="eastAsia" w:ascii="仿宋" w:hAnsi="仿宋" w:eastAsia="仿宋"/>
          <w:b w:val="0"/>
          <w:spacing w:val="-4"/>
          <w:sz w:val="32"/>
          <w:szCs w:val="32"/>
        </w:rPr>
        <w:t>本项目用于开发区工作运营保障，由本部门工作人员直接开展项目活动，不涉及招投标行为；验收方式按照项目实际情况是否按照既定方案严格执行，实际通过项目实施的成果总结汇报中的内容作为项目验收的直观依据。</w:t>
      </w:r>
    </w:p>
    <w:p>
      <w:pPr>
        <w:spacing w:line="540" w:lineRule="exact"/>
        <w:ind w:firstLine="567" w:firstLineChars="181"/>
        <w:rPr>
          <w:rStyle w:val="19"/>
          <w:rFonts w:ascii="楷体" w:hAnsi="楷体" w:eastAsia="楷体"/>
          <w:spacing w:val="-4"/>
          <w:sz w:val="32"/>
          <w:szCs w:val="32"/>
        </w:rPr>
      </w:pPr>
      <w:r>
        <w:rPr>
          <w:rStyle w:val="19"/>
          <w:rFonts w:hint="eastAsia" w:ascii="楷体" w:hAnsi="楷体" w:eastAsia="楷体"/>
          <w:spacing w:val="-4"/>
          <w:sz w:val="32"/>
          <w:szCs w:val="32"/>
        </w:rPr>
        <w:t>（二）项目管理情况分析</w:t>
      </w:r>
    </w:p>
    <w:p>
      <w:pPr>
        <w:spacing w:line="540" w:lineRule="exact"/>
        <w:ind w:firstLine="624" w:firstLineChars="200"/>
        <w:rPr>
          <w:rStyle w:val="19"/>
          <w:rFonts w:ascii="仿宋" w:hAnsi="仿宋" w:eastAsia="仿宋"/>
          <w:b w:val="0"/>
          <w:spacing w:val="-4"/>
          <w:sz w:val="32"/>
          <w:szCs w:val="32"/>
        </w:rPr>
      </w:pPr>
      <w:r>
        <w:rPr>
          <w:rStyle w:val="19"/>
          <w:rFonts w:hint="eastAsia" w:ascii="仿宋" w:hAnsi="仿宋" w:eastAsia="仿宋"/>
          <w:b w:val="0"/>
          <w:spacing w:val="-4"/>
          <w:sz w:val="32"/>
          <w:szCs w:val="32"/>
        </w:rPr>
        <w:t>1、按照“量入为出，先存后用、节约使用”的原则，做到有计划地使用各专项资金；</w:t>
      </w:r>
    </w:p>
    <w:p>
      <w:pPr>
        <w:spacing w:line="540" w:lineRule="exact"/>
        <w:ind w:firstLine="624" w:firstLineChars="200"/>
        <w:rPr>
          <w:rStyle w:val="19"/>
          <w:rFonts w:ascii="仿宋" w:hAnsi="仿宋" w:eastAsia="仿宋"/>
          <w:b w:val="0"/>
          <w:spacing w:val="-4"/>
          <w:sz w:val="32"/>
          <w:szCs w:val="32"/>
        </w:rPr>
      </w:pPr>
      <w:r>
        <w:rPr>
          <w:rStyle w:val="19"/>
          <w:rFonts w:ascii="仿宋" w:hAnsi="仿宋" w:eastAsia="仿宋"/>
          <w:b w:val="0"/>
          <w:spacing w:val="-4"/>
          <w:sz w:val="32"/>
          <w:szCs w:val="32"/>
        </w:rPr>
        <w:t>2</w:t>
      </w:r>
      <w:r>
        <w:rPr>
          <w:rStyle w:val="19"/>
          <w:rFonts w:hint="eastAsia" w:ascii="仿宋" w:hAnsi="仿宋" w:eastAsia="仿宋"/>
          <w:b w:val="0"/>
          <w:spacing w:val="-4"/>
          <w:sz w:val="32"/>
          <w:szCs w:val="32"/>
        </w:rPr>
        <w:t>、依善合同，确保资产安全运行，做好资金管理工作。</w:t>
      </w:r>
    </w:p>
    <w:p>
      <w:pPr>
        <w:spacing w:line="540" w:lineRule="exact"/>
        <w:ind w:firstLine="640"/>
        <w:rPr>
          <w:rStyle w:val="19"/>
          <w:rFonts w:ascii="黑体" w:hAnsi="黑体" w:eastAsia="黑体"/>
        </w:rPr>
      </w:pPr>
      <w:r>
        <w:rPr>
          <w:rStyle w:val="19"/>
          <w:rFonts w:hint="eastAsia" w:ascii="黑体" w:hAnsi="黑体" w:eastAsia="黑体"/>
          <w:b w:val="0"/>
          <w:spacing w:val="-4"/>
          <w:sz w:val="32"/>
          <w:szCs w:val="32"/>
        </w:rPr>
        <w:t>四、项目绩效情况</w:t>
      </w:r>
      <w:r>
        <w:rPr>
          <w:rStyle w:val="19"/>
          <w:rFonts w:hint="eastAsia" w:ascii="黑体" w:hAnsi="黑体" w:eastAsia="黑体"/>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（一）项目绩效目标完成情况分析</w:t>
      </w:r>
    </w:p>
    <w:p>
      <w:pPr>
        <w:spacing w:line="540" w:lineRule="exact"/>
        <w:ind w:firstLine="873" w:firstLineChars="280"/>
        <w:rPr>
          <w:rStyle w:val="19"/>
          <w:rFonts w:hint="eastAsia" w:ascii="仿宋" w:hAnsi="仿宋" w:eastAsia="仿宋"/>
          <w:b w:val="0"/>
          <w:spacing w:val="-4"/>
          <w:sz w:val="32"/>
          <w:szCs w:val="32"/>
          <w:lang w:val="en-US" w:eastAsia="zh-CN"/>
        </w:rPr>
      </w:pPr>
      <w:r>
        <w:rPr>
          <w:rStyle w:val="19"/>
          <w:rFonts w:hint="eastAsia" w:ascii="仿宋" w:hAnsi="仿宋" w:eastAsia="仿宋"/>
          <w:b w:val="0"/>
          <w:spacing w:val="-4"/>
          <w:sz w:val="32"/>
          <w:szCs w:val="32"/>
          <w:lang w:eastAsia="zh-CN"/>
        </w:rPr>
        <w:t>本项目共设置一级指标</w:t>
      </w:r>
      <w:r>
        <w:rPr>
          <w:rStyle w:val="19"/>
          <w:rFonts w:hint="eastAsia" w:ascii="仿宋" w:hAnsi="仿宋" w:eastAsia="仿宋"/>
          <w:b w:val="0"/>
          <w:spacing w:val="-4"/>
          <w:sz w:val="32"/>
          <w:szCs w:val="32"/>
          <w:lang w:val="en-US" w:eastAsia="zh-CN"/>
        </w:rPr>
        <w:t>3个，二级指标7个，三级指标11个，其中已完成三级指标11个，指标完成率为100%。</w:t>
      </w:r>
    </w:p>
    <w:p>
      <w:pPr>
        <w:spacing w:line="540" w:lineRule="exact"/>
        <w:ind w:firstLine="873" w:firstLineChars="280"/>
        <w:rPr>
          <w:rStyle w:val="19"/>
          <w:rFonts w:hint="eastAsia" w:ascii="仿宋" w:hAnsi="仿宋" w:eastAsia="仿宋"/>
          <w:b w:val="0"/>
          <w:spacing w:val="-4"/>
          <w:sz w:val="32"/>
          <w:szCs w:val="32"/>
          <w:lang w:val="en-US" w:eastAsia="zh-CN"/>
        </w:rPr>
      </w:pPr>
      <w:r>
        <w:rPr>
          <w:rStyle w:val="19"/>
          <w:rFonts w:hint="eastAsia" w:ascii="仿宋" w:hAnsi="仿宋" w:eastAsia="仿宋"/>
          <w:b w:val="0"/>
          <w:spacing w:val="-4"/>
          <w:sz w:val="32"/>
          <w:szCs w:val="32"/>
          <w:lang w:val="en-US" w:eastAsia="zh-CN"/>
        </w:rPr>
        <w:t>效率性：完成及时率100%。</w:t>
      </w:r>
    </w:p>
    <w:p>
      <w:pPr>
        <w:spacing w:line="540" w:lineRule="exact"/>
        <w:ind w:firstLine="873" w:firstLineChars="280"/>
        <w:rPr>
          <w:rStyle w:val="19"/>
          <w:rFonts w:hint="eastAsia" w:ascii="仿宋" w:hAnsi="仿宋" w:eastAsia="仿宋"/>
          <w:b w:val="0"/>
          <w:spacing w:val="-4"/>
          <w:sz w:val="32"/>
          <w:szCs w:val="32"/>
          <w:lang w:val="en-US" w:eastAsia="zh-CN"/>
        </w:rPr>
      </w:pPr>
      <w:r>
        <w:rPr>
          <w:rStyle w:val="19"/>
          <w:rFonts w:hint="eastAsia" w:ascii="仿宋" w:hAnsi="仿宋" w:eastAsia="仿宋"/>
          <w:b w:val="0"/>
          <w:spacing w:val="-4"/>
          <w:sz w:val="32"/>
          <w:szCs w:val="32"/>
          <w:lang w:val="en-US" w:eastAsia="zh-CN"/>
        </w:rPr>
        <w:t>效益性：解决了</w:t>
      </w:r>
      <w:r>
        <w:rPr>
          <w:rStyle w:val="19"/>
          <w:rFonts w:hint="eastAsia" w:ascii="仿宋" w:hAnsi="仿宋" w:eastAsia="仿宋"/>
          <w:b w:val="0"/>
          <w:spacing w:val="-4"/>
          <w:sz w:val="32"/>
          <w:szCs w:val="32"/>
        </w:rPr>
        <w:t>干部交流、周转、接待等使用需求</w:t>
      </w:r>
      <w:r>
        <w:rPr>
          <w:rStyle w:val="19"/>
          <w:rFonts w:hint="eastAsia" w:ascii="仿宋" w:hAnsi="仿宋" w:eastAsia="仿宋"/>
          <w:b w:val="0"/>
          <w:spacing w:val="-4"/>
          <w:sz w:val="32"/>
          <w:szCs w:val="32"/>
          <w:lang w:eastAsia="zh-CN"/>
        </w:rPr>
        <w:t>，</w:t>
      </w:r>
      <w:r>
        <w:rPr>
          <w:rStyle w:val="19"/>
          <w:rFonts w:hint="eastAsia" w:ascii="仿宋" w:hAnsi="仿宋" w:eastAsia="仿宋"/>
          <w:b w:val="0"/>
          <w:spacing w:val="-4"/>
          <w:sz w:val="32"/>
          <w:szCs w:val="32"/>
          <w:lang w:val="en-US" w:eastAsia="zh-CN"/>
        </w:rPr>
        <w:t>公共服务能力有效提升。</w:t>
      </w:r>
    </w:p>
    <w:p>
      <w:pPr>
        <w:adjustRightInd w:val="0"/>
        <w:snapToGrid w:val="0"/>
        <w:spacing w:line="560" w:lineRule="exact"/>
        <w:ind w:firstLine="627" w:firstLineChars="200"/>
        <w:outlineLvl w:val="0"/>
        <w:rPr>
          <w:rFonts w:ascii="楷体" w:hAnsi="楷体" w:eastAsia="楷体"/>
          <w:b/>
          <w:color w:val="auto"/>
          <w:spacing w:val="-4"/>
          <w:sz w:val="32"/>
          <w:szCs w:val="32"/>
          <w:shd w:val="clear" w:color="auto" w:fill="auto"/>
        </w:rPr>
      </w:pPr>
      <w:r>
        <w:rPr>
          <w:rFonts w:hint="eastAsia" w:ascii="楷体" w:hAnsi="楷体" w:eastAsia="楷体"/>
          <w:b/>
          <w:color w:val="auto"/>
          <w:spacing w:val="-4"/>
          <w:sz w:val="32"/>
          <w:szCs w:val="32"/>
          <w:shd w:val="clear" w:color="auto" w:fill="auto"/>
        </w:rPr>
        <w:t>（二）项目绩效目标未完成原因分析</w:t>
      </w:r>
    </w:p>
    <w:p>
      <w:pPr>
        <w:adjustRightInd w:val="0"/>
        <w:snapToGrid w:val="0"/>
        <w:spacing w:line="560" w:lineRule="exact"/>
        <w:ind w:firstLine="624" w:firstLineChars="200"/>
        <w:rPr>
          <w:rStyle w:val="19"/>
          <w:rFonts w:hint="eastAsia" w:ascii="仿宋" w:hAnsi="仿宋" w:eastAsia="仿宋"/>
          <w:b w:val="0"/>
          <w:spacing w:val="-4"/>
          <w:sz w:val="32"/>
          <w:szCs w:val="32"/>
          <w:lang w:val="en-US" w:eastAsia="zh-CN"/>
        </w:rPr>
      </w:pPr>
      <w:r>
        <w:rPr>
          <w:rFonts w:hint="eastAsia" w:ascii="仿宋" w:hAnsi="仿宋" w:eastAsia="仿宋"/>
          <w:color w:val="auto"/>
          <w:spacing w:val="-4"/>
          <w:sz w:val="32"/>
          <w:szCs w:val="32"/>
        </w:rPr>
        <w:t>2018年本项目绩效目标全部达成，不存在未完成原因分析。</w:t>
      </w:r>
    </w:p>
    <w:p>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五、其他需要说明的问题</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（一）后续工作计划</w:t>
      </w:r>
    </w:p>
    <w:p>
      <w:pPr>
        <w:spacing w:line="540" w:lineRule="exact"/>
        <w:ind w:firstLine="564" w:firstLineChars="181"/>
        <w:rPr>
          <w:rFonts w:ascii="楷体" w:hAnsi="楷体" w:eastAsia="楷体"/>
          <w:b/>
          <w:spacing w:val="-4"/>
          <w:sz w:val="32"/>
          <w:szCs w:val="32"/>
        </w:rPr>
      </w:pPr>
      <w:r>
        <w:rPr>
          <w:rStyle w:val="19"/>
          <w:rFonts w:hint="eastAsia" w:ascii="仿宋" w:hAnsi="仿宋" w:eastAsia="仿宋"/>
          <w:b w:val="0"/>
          <w:spacing w:val="-4"/>
          <w:sz w:val="32"/>
          <w:szCs w:val="32"/>
        </w:rPr>
        <w:t>安排人才公寓装修预算，加快装修进度，确保公寓尽快投入使用，达到预期使用目标。</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（二）主要经验及做法、存在问题和建议</w:t>
      </w:r>
    </w:p>
    <w:p>
      <w:pPr>
        <w:pStyle w:val="15"/>
        <w:keepNext w:val="0"/>
        <w:keepLines w:val="0"/>
        <w:widowControl/>
        <w:suppressLineNumbers w:val="0"/>
        <w:ind w:firstLine="624" w:firstLineChars="200"/>
        <w:rPr>
          <w:rFonts w:ascii="仿宋_GB2312" w:eastAsia="仿宋_GB2312"/>
          <w:spacing w:val="-4"/>
          <w:sz w:val="32"/>
          <w:szCs w:val="32"/>
        </w:rPr>
      </w:pPr>
      <w:r>
        <w:rPr>
          <w:rFonts w:hint="eastAsia" w:ascii="仿宋" w:hAnsi="仿宋" w:eastAsia="仿宋" w:cs="Times New Roman"/>
          <w:bCs/>
          <w:color w:val="auto"/>
          <w:spacing w:val="-4"/>
          <w:kern w:val="2"/>
          <w:sz w:val="32"/>
          <w:szCs w:val="32"/>
          <w:lang w:val="en-US" w:eastAsia="zh-CN" w:bidi="ar-SA"/>
        </w:rPr>
        <w:t>1、主要经验及做法。</w:t>
      </w:r>
      <w:r>
        <w:rPr>
          <w:rFonts w:hint="eastAsia" w:ascii="仿宋_GB2312" w:eastAsia="仿宋_GB2312"/>
          <w:spacing w:val="-4"/>
          <w:sz w:val="32"/>
          <w:szCs w:val="32"/>
        </w:rPr>
        <w:t xml:space="preserve"> </w:t>
      </w:r>
    </w:p>
    <w:p>
      <w:pPr>
        <w:spacing w:line="540" w:lineRule="exact"/>
        <w:ind w:firstLine="640" w:firstLineChars="200"/>
        <w:rPr>
          <w:rFonts w:hint="eastAsia" w:ascii="仿宋_GB2312" w:eastAsia="仿宋_GB2312"/>
          <w:color w:val="000000"/>
          <w:sz w:val="32"/>
          <w:szCs w:val="32"/>
          <w:shd w:val="clear" w:color="auto" w:fill="FFFFFF"/>
        </w:rPr>
      </w:pPr>
      <w:r>
        <w:rPr>
          <w:rFonts w:hint="eastAsia" w:ascii="仿宋_GB2312" w:eastAsia="仿宋_GB2312"/>
          <w:color w:val="000000"/>
          <w:sz w:val="32"/>
          <w:szCs w:val="32"/>
          <w:shd w:val="clear" w:color="auto" w:fill="FFFFFF"/>
        </w:rPr>
        <w:t>明确各类专项资金的审批、管理、使用和监督，确保专款专用</w:t>
      </w:r>
      <w:r>
        <w:rPr>
          <w:rFonts w:hint="eastAsia" w:ascii="仿宋_GB2312" w:eastAsia="仿宋_GB2312"/>
          <w:color w:val="000000"/>
          <w:sz w:val="32"/>
          <w:szCs w:val="32"/>
          <w:shd w:val="clear" w:color="auto" w:fill="FFFFFF"/>
          <w:lang w:eastAsia="zh-CN"/>
        </w:rPr>
        <w:t>、</w:t>
      </w:r>
      <w:r>
        <w:rPr>
          <w:rFonts w:hint="eastAsia" w:ascii="仿宋_GB2312" w:eastAsia="仿宋_GB2312"/>
          <w:spacing w:val="-4"/>
          <w:sz w:val="32"/>
          <w:szCs w:val="32"/>
        </w:rPr>
        <w:t>做好市场调查，选择性价比较高、符合开发区实际需求的楼盘</w:t>
      </w:r>
      <w:r>
        <w:rPr>
          <w:rFonts w:hint="eastAsia" w:ascii="仿宋_GB2312" w:eastAsia="仿宋_GB2312"/>
          <w:spacing w:val="-4"/>
          <w:sz w:val="32"/>
          <w:szCs w:val="32"/>
          <w:lang w:eastAsia="zh-CN"/>
        </w:rPr>
        <w:t>、</w:t>
      </w:r>
      <w:r>
        <w:rPr>
          <w:rFonts w:hint="eastAsia" w:ascii="仿宋_GB2312" w:eastAsia="仿宋_GB2312"/>
          <w:color w:val="000000"/>
          <w:sz w:val="32"/>
          <w:szCs w:val="32"/>
          <w:shd w:val="clear" w:color="auto" w:fill="FFFFFF"/>
        </w:rPr>
        <w:t>做好验收工作</w:t>
      </w:r>
      <w:r>
        <w:rPr>
          <w:rFonts w:hint="eastAsia" w:ascii="仿宋_GB2312" w:eastAsia="仿宋_GB2312"/>
          <w:spacing w:val="-4"/>
          <w:sz w:val="32"/>
          <w:szCs w:val="32"/>
        </w:rPr>
        <w:t>，</w:t>
      </w:r>
      <w:r>
        <w:rPr>
          <w:rFonts w:hint="eastAsia" w:ascii="仿宋_GB2312" w:eastAsia="仿宋_GB2312"/>
          <w:color w:val="000000"/>
          <w:sz w:val="32"/>
          <w:szCs w:val="32"/>
          <w:shd w:val="clear" w:color="auto" w:fill="FFFFFF"/>
        </w:rPr>
        <w:t>及时推进各类项目全面实施。</w:t>
      </w:r>
    </w:p>
    <w:p>
      <w:pPr>
        <w:adjustRightInd w:val="0"/>
        <w:snapToGrid w:val="0"/>
        <w:spacing w:line="560" w:lineRule="exact"/>
        <w:ind w:firstLine="624" w:firstLineChars="200"/>
        <w:rPr>
          <w:rFonts w:hint="eastAsia" w:ascii="仿宋" w:hAnsi="仿宋" w:eastAsia="仿宋" w:cs="Times New Roman"/>
          <w:bCs/>
          <w:color w:val="auto"/>
          <w:spacing w:val="-4"/>
          <w:kern w:val="2"/>
          <w:sz w:val="32"/>
          <w:szCs w:val="32"/>
          <w:lang w:val="en-US" w:eastAsia="zh-CN" w:bidi="ar-SA"/>
        </w:rPr>
      </w:pPr>
      <w:r>
        <w:rPr>
          <w:rFonts w:hint="eastAsia" w:ascii="仿宋" w:hAnsi="仿宋" w:eastAsia="仿宋" w:cs="Times New Roman"/>
          <w:bCs/>
          <w:color w:val="auto"/>
          <w:spacing w:val="-4"/>
          <w:kern w:val="2"/>
          <w:sz w:val="32"/>
          <w:szCs w:val="32"/>
          <w:lang w:val="en-US" w:eastAsia="zh-CN" w:bidi="ar-SA"/>
        </w:rPr>
        <w:t>2、存在的问题。无</w:t>
      </w:r>
    </w:p>
    <w:p>
      <w:pPr>
        <w:adjustRightInd w:val="0"/>
        <w:snapToGrid w:val="0"/>
        <w:spacing w:line="560" w:lineRule="exact"/>
        <w:ind w:firstLine="624" w:firstLineChars="200"/>
        <w:outlineLvl w:val="0"/>
        <w:rPr>
          <w:rFonts w:hint="eastAsia" w:ascii="仿宋_GB2312" w:eastAsia="仿宋_GB2312"/>
          <w:color w:val="000000"/>
          <w:sz w:val="32"/>
          <w:szCs w:val="32"/>
          <w:shd w:val="clear" w:color="auto" w:fill="FFFFFF"/>
        </w:rPr>
      </w:pPr>
      <w:r>
        <w:rPr>
          <w:rFonts w:hint="eastAsia" w:ascii="仿宋" w:hAnsi="仿宋" w:eastAsia="仿宋" w:cs="Times New Roman"/>
          <w:bCs/>
          <w:color w:val="auto"/>
          <w:spacing w:val="-4"/>
          <w:kern w:val="2"/>
          <w:sz w:val="32"/>
          <w:szCs w:val="32"/>
          <w:lang w:val="en-US" w:eastAsia="zh-CN" w:bidi="ar-SA"/>
        </w:rPr>
        <w:t>3、建议。无</w:t>
      </w:r>
    </w:p>
    <w:p>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六、项目评价工作情况</w:t>
      </w:r>
    </w:p>
    <w:p>
      <w:pPr>
        <w:ind w:firstLine="624" w:firstLineChars="200"/>
        <w:rPr>
          <w:rFonts w:ascii="仿宋_GB2312" w:eastAsia="仿宋_GB2312"/>
          <w:spacing w:val="-4"/>
          <w:sz w:val="32"/>
          <w:szCs w:val="32"/>
        </w:rPr>
      </w:pPr>
      <w:r>
        <w:rPr>
          <w:rFonts w:hint="eastAsia" w:ascii="仿宋_GB2312" w:eastAsia="仿宋_GB2312"/>
          <w:spacing w:val="-4"/>
          <w:sz w:val="32"/>
          <w:szCs w:val="32"/>
        </w:rPr>
        <w:t>以上数据来源于部门2018年度预算，针对目前开发区周转用房需求，结合实际购买。</w:t>
      </w:r>
    </w:p>
    <w:p>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七、附表</w:t>
      </w:r>
    </w:p>
    <w:p>
      <w:pPr>
        <w:spacing w:line="540" w:lineRule="exact"/>
        <w:ind w:firstLine="567"/>
        <w:rPr>
          <w:rStyle w:val="19"/>
          <w:rFonts w:ascii="仿宋" w:hAnsi="仿宋" w:eastAsia="仿宋"/>
          <w:b w:val="0"/>
          <w:spacing w:val="-4"/>
          <w:sz w:val="32"/>
          <w:szCs w:val="32"/>
        </w:rPr>
      </w:pPr>
      <w:r>
        <w:rPr>
          <w:rStyle w:val="19"/>
          <w:rFonts w:hint="eastAsia" w:ascii="仿宋" w:hAnsi="仿宋" w:eastAsia="仿宋"/>
          <w:b w:val="0"/>
          <w:spacing w:val="-4"/>
          <w:sz w:val="32"/>
          <w:szCs w:val="32"/>
        </w:rPr>
        <w:t>《自治区财政项目支出绩效自评表》</w:t>
      </w:r>
    </w:p>
    <w:p>
      <w:pPr>
        <w:spacing w:line="540" w:lineRule="exact"/>
        <w:ind w:firstLine="567"/>
        <w:rPr>
          <w:rStyle w:val="19"/>
          <w:rFonts w:ascii="仿宋" w:hAnsi="仿宋" w:eastAsia="仿宋"/>
          <w:b w:val="0"/>
          <w:spacing w:val="-4"/>
          <w:sz w:val="32"/>
          <w:szCs w:val="32"/>
        </w:rPr>
      </w:pPr>
    </w:p>
    <w:p>
      <w:pPr>
        <w:spacing w:line="540" w:lineRule="exact"/>
        <w:ind w:firstLine="567"/>
        <w:rPr>
          <w:rStyle w:val="19"/>
          <w:rFonts w:ascii="仿宋" w:hAnsi="仿宋" w:eastAsia="仿宋"/>
          <w:b w:val="0"/>
          <w:spacing w:val="-4"/>
          <w:sz w:val="32"/>
          <w:szCs w:val="32"/>
        </w:rPr>
      </w:pPr>
    </w:p>
    <w:p>
      <w:pPr>
        <w:spacing w:line="540" w:lineRule="exact"/>
        <w:ind w:firstLine="567"/>
        <w:rPr>
          <w:rStyle w:val="19"/>
          <w:rFonts w:ascii="仿宋" w:hAnsi="仿宋" w:eastAsia="仿宋"/>
          <w:b w:val="0"/>
          <w:spacing w:val="-4"/>
          <w:sz w:val="32"/>
          <w:szCs w:val="32"/>
        </w:rPr>
      </w:pPr>
    </w:p>
    <w:p>
      <w:pPr>
        <w:spacing w:line="540" w:lineRule="exact"/>
        <w:ind w:firstLine="567"/>
        <w:rPr>
          <w:rStyle w:val="19"/>
          <w:rFonts w:ascii="仿宋" w:hAnsi="仿宋" w:eastAsia="仿宋"/>
          <w:b w:val="0"/>
          <w:spacing w:val="-4"/>
          <w:sz w:val="32"/>
          <w:szCs w:val="32"/>
        </w:rPr>
      </w:pPr>
    </w:p>
    <w:p>
      <w:pPr>
        <w:spacing w:line="540" w:lineRule="exact"/>
        <w:ind w:firstLine="567"/>
        <w:rPr>
          <w:rStyle w:val="19"/>
          <w:rFonts w:ascii="仿宋" w:hAnsi="仿宋" w:eastAsia="仿宋"/>
          <w:b w:val="0"/>
          <w:spacing w:val="-4"/>
          <w:sz w:val="32"/>
          <w:szCs w:val="32"/>
        </w:rPr>
      </w:pPr>
    </w:p>
    <w:p>
      <w:pPr>
        <w:spacing w:line="540" w:lineRule="exact"/>
        <w:rPr>
          <w:rStyle w:val="19"/>
          <w:rFonts w:ascii="仿宋" w:hAnsi="仿宋" w:eastAsia="仿宋"/>
          <w:b w:val="0"/>
          <w:spacing w:val="-4"/>
          <w:sz w:val="32"/>
          <w:szCs w:val="32"/>
        </w:rPr>
      </w:pPr>
      <w:bookmarkStart w:id="0" w:name="_GoBack"/>
      <w:bookmarkEnd w:id="0"/>
    </w:p>
    <w:p>
      <w:pPr>
        <w:spacing w:line="540" w:lineRule="exact"/>
        <w:ind w:firstLine="567"/>
        <w:rPr>
          <w:rStyle w:val="19"/>
          <w:rFonts w:ascii="仿宋" w:hAnsi="仿宋" w:eastAsia="仿宋"/>
          <w:b w:val="0"/>
          <w:spacing w:val="-4"/>
          <w:sz w:val="32"/>
          <w:szCs w:val="32"/>
        </w:rPr>
      </w:pPr>
    </w:p>
    <w:p>
      <w:pPr>
        <w:spacing w:line="540" w:lineRule="exact"/>
        <w:ind w:firstLine="567"/>
        <w:rPr>
          <w:rStyle w:val="19"/>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2</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A6457"/>
    <w:rsid w:val="00056465"/>
    <w:rsid w:val="00056CA6"/>
    <w:rsid w:val="00057CF8"/>
    <w:rsid w:val="00067D8C"/>
    <w:rsid w:val="000B46D9"/>
    <w:rsid w:val="000D4A00"/>
    <w:rsid w:val="000F0E73"/>
    <w:rsid w:val="0011666A"/>
    <w:rsid w:val="00116EBD"/>
    <w:rsid w:val="00121356"/>
    <w:rsid w:val="00121AE4"/>
    <w:rsid w:val="00137854"/>
    <w:rsid w:val="00146AAD"/>
    <w:rsid w:val="001714A3"/>
    <w:rsid w:val="0018238E"/>
    <w:rsid w:val="00196D4B"/>
    <w:rsid w:val="001A127E"/>
    <w:rsid w:val="001B3A40"/>
    <w:rsid w:val="001C2733"/>
    <w:rsid w:val="001C3AAD"/>
    <w:rsid w:val="001D53F2"/>
    <w:rsid w:val="00264A4F"/>
    <w:rsid w:val="002B62C4"/>
    <w:rsid w:val="002C452B"/>
    <w:rsid w:val="002E2DDE"/>
    <w:rsid w:val="002E5621"/>
    <w:rsid w:val="00330B75"/>
    <w:rsid w:val="00344638"/>
    <w:rsid w:val="0036514A"/>
    <w:rsid w:val="00374756"/>
    <w:rsid w:val="00380A9D"/>
    <w:rsid w:val="003847FD"/>
    <w:rsid w:val="003B0F11"/>
    <w:rsid w:val="003D16ED"/>
    <w:rsid w:val="003E2FD5"/>
    <w:rsid w:val="003E4A6E"/>
    <w:rsid w:val="004366A8"/>
    <w:rsid w:val="004733DE"/>
    <w:rsid w:val="004B1C4F"/>
    <w:rsid w:val="004B6955"/>
    <w:rsid w:val="004C2B2D"/>
    <w:rsid w:val="004D0010"/>
    <w:rsid w:val="004D4034"/>
    <w:rsid w:val="004D6F37"/>
    <w:rsid w:val="004E01EE"/>
    <w:rsid w:val="00502BA7"/>
    <w:rsid w:val="0050552E"/>
    <w:rsid w:val="00506D74"/>
    <w:rsid w:val="005162F1"/>
    <w:rsid w:val="00535153"/>
    <w:rsid w:val="00554F82"/>
    <w:rsid w:val="0056390D"/>
    <w:rsid w:val="00565623"/>
    <w:rsid w:val="00565CE3"/>
    <w:rsid w:val="005719B0"/>
    <w:rsid w:val="00594838"/>
    <w:rsid w:val="005A570E"/>
    <w:rsid w:val="005D10D6"/>
    <w:rsid w:val="005D13E2"/>
    <w:rsid w:val="005D6395"/>
    <w:rsid w:val="005F2566"/>
    <w:rsid w:val="0060734E"/>
    <w:rsid w:val="00607FEF"/>
    <w:rsid w:val="0063749F"/>
    <w:rsid w:val="006A67DE"/>
    <w:rsid w:val="00705501"/>
    <w:rsid w:val="00706896"/>
    <w:rsid w:val="00723FEA"/>
    <w:rsid w:val="00770C0D"/>
    <w:rsid w:val="00780A61"/>
    <w:rsid w:val="007944E0"/>
    <w:rsid w:val="00805E12"/>
    <w:rsid w:val="0081750A"/>
    <w:rsid w:val="00842F87"/>
    <w:rsid w:val="00855E3A"/>
    <w:rsid w:val="008663F5"/>
    <w:rsid w:val="008669B3"/>
    <w:rsid w:val="008973EE"/>
    <w:rsid w:val="008A49BA"/>
    <w:rsid w:val="008D7F34"/>
    <w:rsid w:val="008E227B"/>
    <w:rsid w:val="00922CB9"/>
    <w:rsid w:val="00951FFF"/>
    <w:rsid w:val="00956BE5"/>
    <w:rsid w:val="009611AC"/>
    <w:rsid w:val="00975CC9"/>
    <w:rsid w:val="009766E9"/>
    <w:rsid w:val="009833EF"/>
    <w:rsid w:val="009E5CD9"/>
    <w:rsid w:val="00A26421"/>
    <w:rsid w:val="00A418D0"/>
    <w:rsid w:val="00A4293B"/>
    <w:rsid w:val="00A46FEC"/>
    <w:rsid w:val="00A517E1"/>
    <w:rsid w:val="00A54FDE"/>
    <w:rsid w:val="00A67D50"/>
    <w:rsid w:val="00A8691A"/>
    <w:rsid w:val="00AA16A3"/>
    <w:rsid w:val="00AB0BFE"/>
    <w:rsid w:val="00AC1946"/>
    <w:rsid w:val="00AF5A96"/>
    <w:rsid w:val="00AF6212"/>
    <w:rsid w:val="00AF6721"/>
    <w:rsid w:val="00B009A5"/>
    <w:rsid w:val="00B12691"/>
    <w:rsid w:val="00B32585"/>
    <w:rsid w:val="00B3402B"/>
    <w:rsid w:val="00B40063"/>
    <w:rsid w:val="00B41F61"/>
    <w:rsid w:val="00B8178A"/>
    <w:rsid w:val="00BA46E6"/>
    <w:rsid w:val="00BB4CC8"/>
    <w:rsid w:val="00BB63C7"/>
    <w:rsid w:val="00BC1834"/>
    <w:rsid w:val="00C32A5D"/>
    <w:rsid w:val="00C56C72"/>
    <w:rsid w:val="00C6473C"/>
    <w:rsid w:val="00CA01C8"/>
    <w:rsid w:val="00CA4E9C"/>
    <w:rsid w:val="00CA6457"/>
    <w:rsid w:val="00CB2D53"/>
    <w:rsid w:val="00CB3CD3"/>
    <w:rsid w:val="00CC1E0D"/>
    <w:rsid w:val="00CE1AC0"/>
    <w:rsid w:val="00CE69C2"/>
    <w:rsid w:val="00D17F2E"/>
    <w:rsid w:val="00D234D7"/>
    <w:rsid w:val="00D24598"/>
    <w:rsid w:val="00D26670"/>
    <w:rsid w:val="00D30354"/>
    <w:rsid w:val="00D53EB3"/>
    <w:rsid w:val="00D5540A"/>
    <w:rsid w:val="00DD2803"/>
    <w:rsid w:val="00DE1076"/>
    <w:rsid w:val="00DF42A0"/>
    <w:rsid w:val="00E15631"/>
    <w:rsid w:val="00E35BA9"/>
    <w:rsid w:val="00E551AF"/>
    <w:rsid w:val="00E6277C"/>
    <w:rsid w:val="00E63F84"/>
    <w:rsid w:val="00E65807"/>
    <w:rsid w:val="00E670D5"/>
    <w:rsid w:val="00E738F8"/>
    <w:rsid w:val="00E769FE"/>
    <w:rsid w:val="00E86152"/>
    <w:rsid w:val="00E90BA9"/>
    <w:rsid w:val="00EA2CBE"/>
    <w:rsid w:val="00EB1E07"/>
    <w:rsid w:val="00EF531D"/>
    <w:rsid w:val="00F021B7"/>
    <w:rsid w:val="00F215D0"/>
    <w:rsid w:val="00F27508"/>
    <w:rsid w:val="00F32FEE"/>
    <w:rsid w:val="00FB10BB"/>
    <w:rsid w:val="00FF44C9"/>
    <w:rsid w:val="00FF5C1D"/>
    <w:rsid w:val="01017F65"/>
    <w:rsid w:val="0D8F059A"/>
    <w:rsid w:val="0DD1224B"/>
    <w:rsid w:val="11406111"/>
    <w:rsid w:val="11F309DD"/>
    <w:rsid w:val="174307DB"/>
    <w:rsid w:val="1BF24AF1"/>
    <w:rsid w:val="33BD1D07"/>
    <w:rsid w:val="35E9625E"/>
    <w:rsid w:val="3C8C39A7"/>
    <w:rsid w:val="40437292"/>
    <w:rsid w:val="4C9A5991"/>
    <w:rsid w:val="5C0A0755"/>
    <w:rsid w:val="5DA85867"/>
    <w:rsid w:val="6C796BF4"/>
    <w:rsid w:val="749C562B"/>
    <w:rsid w:val="76C160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semiHidden/>
    <w:unhideWhenUsed/>
    <w:qFormat/>
    <w:uiPriority w:val="1"/>
  </w:style>
  <w:style w:type="table" w:default="1" w:styleId="17">
    <w:name w:val="Normal Table"/>
    <w:semiHidden/>
    <w:unhideWhenUsed/>
    <w:qFormat/>
    <w:uiPriority w:val="99"/>
    <w:tblPr>
      <w:tblLayout w:type="fixed"/>
      <w:tblCellMar>
        <w:top w:w="0" w:type="dxa"/>
        <w:left w:w="108" w:type="dxa"/>
        <w:bottom w:w="0" w:type="dxa"/>
        <w:right w:w="108" w:type="dxa"/>
      </w:tblCellMar>
    </w:tblPr>
  </w:style>
  <w:style w:type="paragraph" w:styleId="11">
    <w:name w:val="Balloon Text"/>
    <w:basedOn w:val="1"/>
    <w:link w:val="46"/>
    <w:unhideWhenUsed/>
    <w:qFormat/>
    <w:uiPriority w:val="99"/>
    <w:rPr>
      <w:sz w:val="18"/>
      <w:szCs w:val="18"/>
    </w:rPr>
  </w:style>
  <w:style w:type="paragraph" w:styleId="12">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5">
    <w:name w:val="Normal (Web)"/>
    <w:basedOn w:val="1"/>
    <w:semiHidden/>
    <w:unhideWhenUsed/>
    <w:qFormat/>
    <w:uiPriority w:val="99"/>
    <w:pPr>
      <w:spacing w:before="0" w:beforeAutospacing="0" w:after="0" w:afterAutospacing="0"/>
      <w:ind w:left="0" w:right="0"/>
      <w:jc w:val="left"/>
    </w:pPr>
    <w:rPr>
      <w:kern w:val="0"/>
      <w:sz w:val="24"/>
      <w:lang w:val="en-US" w:eastAsia="zh-CN" w:bidi="ar"/>
    </w:rPr>
  </w:style>
  <w:style w:type="paragraph" w:styleId="16">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customStyle="1" w:styleId="21">
    <w:name w:val="标题 1 Char"/>
    <w:basedOn w:val="18"/>
    <w:link w:val="2"/>
    <w:qFormat/>
    <w:uiPriority w:val="9"/>
    <w:rPr>
      <w:rFonts w:asciiTheme="majorHAnsi" w:hAnsiTheme="majorHAnsi" w:eastAsiaTheme="majorEastAsia"/>
      <w:b/>
      <w:bCs/>
      <w:kern w:val="32"/>
      <w:sz w:val="32"/>
      <w:szCs w:val="32"/>
    </w:rPr>
  </w:style>
  <w:style w:type="character" w:customStyle="1" w:styleId="22">
    <w:name w:val="标题 2 Char"/>
    <w:basedOn w:val="18"/>
    <w:link w:val="3"/>
    <w:semiHidden/>
    <w:qFormat/>
    <w:uiPriority w:val="9"/>
    <w:rPr>
      <w:rFonts w:asciiTheme="majorHAnsi" w:hAnsiTheme="majorHAnsi" w:eastAsiaTheme="majorEastAsia"/>
      <w:b/>
      <w:bCs/>
      <w:i/>
      <w:iCs/>
      <w:sz w:val="28"/>
      <w:szCs w:val="28"/>
    </w:rPr>
  </w:style>
  <w:style w:type="character" w:customStyle="1" w:styleId="23">
    <w:name w:val="标题 3 Char"/>
    <w:basedOn w:val="18"/>
    <w:link w:val="4"/>
    <w:semiHidden/>
    <w:qFormat/>
    <w:uiPriority w:val="9"/>
    <w:rPr>
      <w:rFonts w:asciiTheme="majorHAnsi" w:hAnsiTheme="majorHAnsi" w:eastAsiaTheme="majorEastAsia"/>
      <w:b/>
      <w:bCs/>
      <w:sz w:val="26"/>
      <w:szCs w:val="26"/>
    </w:rPr>
  </w:style>
  <w:style w:type="character" w:customStyle="1" w:styleId="24">
    <w:name w:val="标题 4 Char"/>
    <w:basedOn w:val="18"/>
    <w:link w:val="5"/>
    <w:semiHidden/>
    <w:qFormat/>
    <w:uiPriority w:val="9"/>
    <w:rPr>
      <w:b/>
      <w:bCs/>
      <w:sz w:val="28"/>
      <w:szCs w:val="28"/>
    </w:rPr>
  </w:style>
  <w:style w:type="character" w:customStyle="1" w:styleId="25">
    <w:name w:val="标题 5 Char"/>
    <w:basedOn w:val="18"/>
    <w:link w:val="6"/>
    <w:semiHidden/>
    <w:qFormat/>
    <w:uiPriority w:val="9"/>
    <w:rPr>
      <w:b/>
      <w:bCs/>
      <w:i/>
      <w:iCs/>
      <w:sz w:val="26"/>
      <w:szCs w:val="26"/>
    </w:rPr>
  </w:style>
  <w:style w:type="character" w:customStyle="1" w:styleId="26">
    <w:name w:val="标题 6 Char"/>
    <w:basedOn w:val="18"/>
    <w:link w:val="7"/>
    <w:semiHidden/>
    <w:qFormat/>
    <w:uiPriority w:val="9"/>
    <w:rPr>
      <w:b/>
      <w:bCs/>
    </w:rPr>
  </w:style>
  <w:style w:type="character" w:customStyle="1" w:styleId="27">
    <w:name w:val="标题 7 Char"/>
    <w:basedOn w:val="18"/>
    <w:link w:val="8"/>
    <w:semiHidden/>
    <w:qFormat/>
    <w:uiPriority w:val="9"/>
    <w:rPr>
      <w:sz w:val="24"/>
      <w:szCs w:val="24"/>
    </w:rPr>
  </w:style>
  <w:style w:type="character" w:customStyle="1" w:styleId="28">
    <w:name w:val="标题 8 Char"/>
    <w:basedOn w:val="18"/>
    <w:link w:val="9"/>
    <w:semiHidden/>
    <w:qFormat/>
    <w:uiPriority w:val="9"/>
    <w:rPr>
      <w:i/>
      <w:iCs/>
      <w:sz w:val="24"/>
      <w:szCs w:val="24"/>
    </w:rPr>
  </w:style>
  <w:style w:type="character" w:customStyle="1" w:styleId="29">
    <w:name w:val="标题 9 Char"/>
    <w:basedOn w:val="18"/>
    <w:link w:val="10"/>
    <w:semiHidden/>
    <w:qFormat/>
    <w:uiPriority w:val="9"/>
    <w:rPr>
      <w:rFonts w:asciiTheme="majorHAnsi" w:hAnsiTheme="majorHAnsi" w:eastAsiaTheme="majorEastAsia"/>
    </w:rPr>
  </w:style>
  <w:style w:type="character" w:customStyle="1" w:styleId="30">
    <w:name w:val="标题 Char"/>
    <w:basedOn w:val="18"/>
    <w:link w:val="16"/>
    <w:qFormat/>
    <w:uiPriority w:val="10"/>
    <w:rPr>
      <w:rFonts w:asciiTheme="majorHAnsi" w:hAnsiTheme="majorHAnsi" w:eastAsiaTheme="majorEastAsia"/>
      <w:b/>
      <w:bCs/>
      <w:kern w:val="28"/>
      <w:sz w:val="32"/>
      <w:szCs w:val="32"/>
    </w:rPr>
  </w:style>
  <w:style w:type="character" w:customStyle="1" w:styleId="31">
    <w:name w:val="副标题 Char"/>
    <w:basedOn w:val="18"/>
    <w:link w:val="14"/>
    <w:qFormat/>
    <w:uiPriority w:val="11"/>
    <w:rPr>
      <w:rFonts w:asciiTheme="majorHAnsi" w:hAnsiTheme="majorHAnsi" w:eastAsiaTheme="majorEastAsia"/>
      <w:sz w:val="24"/>
      <w:szCs w:val="24"/>
    </w:rPr>
  </w:style>
  <w:style w:type="paragraph" w:customStyle="1" w:styleId="32">
    <w:name w:val="无间隔1"/>
    <w:basedOn w:val="1"/>
    <w:qFormat/>
    <w:uiPriority w:val="1"/>
    <w:pPr>
      <w:widowControl/>
      <w:jc w:val="left"/>
    </w:pPr>
    <w:rPr>
      <w:rFonts w:asciiTheme="minorHAnsi" w:hAnsiTheme="minorHAnsi" w:eastAsiaTheme="minorEastAsia"/>
      <w:kern w:val="0"/>
      <w:sz w:val="24"/>
      <w:szCs w:val="32"/>
      <w:lang w:eastAsia="en-US" w:bidi="en-US"/>
    </w:rPr>
  </w:style>
  <w:style w:type="paragraph" w:customStyle="1" w:styleId="33">
    <w:name w:val="列表段落1"/>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customStyle="1" w:styleId="34">
    <w:name w:val="引用1"/>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Char"/>
    <w:basedOn w:val="18"/>
    <w:link w:val="34"/>
    <w:qFormat/>
    <w:uiPriority w:val="29"/>
    <w:rPr>
      <w:i/>
      <w:sz w:val="24"/>
      <w:szCs w:val="24"/>
    </w:rPr>
  </w:style>
  <w:style w:type="paragraph" w:customStyle="1" w:styleId="36">
    <w:name w:val="明显引用1"/>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Char"/>
    <w:basedOn w:val="18"/>
    <w:link w:val="36"/>
    <w:qFormat/>
    <w:uiPriority w:val="30"/>
    <w:rPr>
      <w:b/>
      <w:i/>
      <w:sz w:val="24"/>
    </w:rPr>
  </w:style>
  <w:style w:type="character" w:customStyle="1" w:styleId="38">
    <w:name w:val="不明显强调1"/>
    <w:qFormat/>
    <w:uiPriority w:val="19"/>
    <w:rPr>
      <w:i/>
      <w:color w:val="595959" w:themeColor="text1" w:themeTint="A5"/>
    </w:rPr>
  </w:style>
  <w:style w:type="character" w:customStyle="1" w:styleId="39">
    <w:name w:val="明显强调1"/>
    <w:basedOn w:val="18"/>
    <w:qFormat/>
    <w:uiPriority w:val="21"/>
    <w:rPr>
      <w:b/>
      <w:i/>
      <w:sz w:val="24"/>
      <w:szCs w:val="24"/>
      <w:u w:val="single"/>
    </w:rPr>
  </w:style>
  <w:style w:type="character" w:customStyle="1" w:styleId="40">
    <w:name w:val="不明显参考1"/>
    <w:basedOn w:val="18"/>
    <w:qFormat/>
    <w:uiPriority w:val="31"/>
    <w:rPr>
      <w:sz w:val="24"/>
      <w:szCs w:val="24"/>
      <w:u w:val="single"/>
    </w:rPr>
  </w:style>
  <w:style w:type="character" w:customStyle="1" w:styleId="41">
    <w:name w:val="明显参考1"/>
    <w:basedOn w:val="18"/>
    <w:qFormat/>
    <w:uiPriority w:val="32"/>
    <w:rPr>
      <w:b/>
      <w:sz w:val="24"/>
      <w:u w:val="single"/>
    </w:rPr>
  </w:style>
  <w:style w:type="character" w:customStyle="1" w:styleId="42">
    <w:name w:val="书籍标题1"/>
    <w:basedOn w:val="18"/>
    <w:qFormat/>
    <w:uiPriority w:val="33"/>
    <w:rPr>
      <w:rFonts w:asciiTheme="majorHAnsi" w:hAnsiTheme="majorHAnsi" w:eastAsiaTheme="majorEastAsia"/>
      <w:b/>
      <w:i/>
      <w:sz w:val="24"/>
      <w:szCs w:val="24"/>
    </w:rPr>
  </w:style>
  <w:style w:type="paragraph" w:customStyle="1" w:styleId="43">
    <w:name w:val="TOC 标题1"/>
    <w:basedOn w:val="2"/>
    <w:next w:val="1"/>
    <w:unhideWhenUsed/>
    <w:qFormat/>
    <w:uiPriority w:val="39"/>
    <w:pPr>
      <w:outlineLvl w:val="9"/>
    </w:pPr>
    <w:rPr>
      <w:lang w:eastAsia="en-US" w:bidi="en-US"/>
    </w:rPr>
  </w:style>
  <w:style w:type="character" w:customStyle="1" w:styleId="44">
    <w:name w:val="页眉 Char"/>
    <w:basedOn w:val="18"/>
    <w:link w:val="13"/>
    <w:qFormat/>
    <w:uiPriority w:val="99"/>
    <w:rPr>
      <w:rFonts w:ascii="Calibri" w:hAnsi="Calibri" w:eastAsia="宋体"/>
      <w:kern w:val="2"/>
      <w:sz w:val="18"/>
      <w:szCs w:val="18"/>
    </w:rPr>
  </w:style>
  <w:style w:type="character" w:customStyle="1" w:styleId="45">
    <w:name w:val="页脚 Char"/>
    <w:basedOn w:val="18"/>
    <w:link w:val="12"/>
    <w:qFormat/>
    <w:uiPriority w:val="99"/>
    <w:rPr>
      <w:rFonts w:ascii="Calibri" w:hAnsi="Calibri" w:eastAsia="宋体"/>
      <w:kern w:val="2"/>
      <w:sz w:val="18"/>
      <w:szCs w:val="18"/>
    </w:rPr>
  </w:style>
  <w:style w:type="character" w:customStyle="1" w:styleId="46">
    <w:name w:val="批注框文本 Char"/>
    <w:basedOn w:val="18"/>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334</Words>
  <Characters>1904</Characters>
  <Lines>15</Lines>
  <Paragraphs>4</Paragraphs>
  <TotalTime>0</TotalTime>
  <ScaleCrop>false</ScaleCrop>
  <LinksUpToDate>false</LinksUpToDate>
  <CharactersWithSpaces>2234</CharactersWithSpaces>
  <Application>WPS Office_11.1.0.9098_F1E327BC-269C-435d-A152-05C5408002CA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2019-01-14T11:20:00Z</dcterms:created>
  <dc:creator>赵 恺（预算处）</dc:creator>
  <cp:lastModifiedBy>angelia</cp:lastModifiedBy>
  <cp:lastPrinted>2018-12-31T10:56:00Z</cp:lastPrinted>
  <dcterms:modified xsi:type="dcterms:W3CDTF">2019-10-20T08:33:52Z</dcterms:modified>
  <cp:revision>125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2052-11.1.0.9098</vt:lpwstr>
  </property>
</Properties>
</file>